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2827" w:right="2843" w:firstLine="0"/>
        <w:jc w:val="center"/>
        <w:rPr>
          <w:sz w:val="22"/>
        </w:rPr>
      </w:pPr>
      <w:r>
        <w:rPr>
          <w:sz w:val="22"/>
        </w:rPr>
        <w:t>弘前大学八戸サテライト使用心得</w:t>
      </w:r>
    </w:p>
    <w:p>
      <w:pPr>
        <w:pStyle w:val="BodyText"/>
        <w:spacing w:before="0"/>
        <w:rPr>
          <w:sz w:val="22"/>
        </w:rPr>
      </w:pPr>
    </w:p>
    <w:p>
      <w:pPr>
        <w:pStyle w:val="BodyText"/>
        <w:spacing w:before="0"/>
        <w:rPr>
          <w:sz w:val="22"/>
        </w:rPr>
      </w:pPr>
    </w:p>
    <w:p>
      <w:pPr>
        <w:pStyle w:val="BodyText"/>
        <w:spacing w:line="307" w:lineRule="auto" w:before="195"/>
        <w:ind w:left="100" w:right="115" w:firstLine="223"/>
      </w:pPr>
      <w:r>
        <w:rPr/>
        <w:t>弘前大学八戸サテライト（以下「八戸サテライト」という。）の使用については，次の事項を</w:t>
      </w:r>
      <w:r>
        <w:rPr>
          <w:rFonts w:ascii="ＭＳ Ｐ明朝" w:eastAsia="ＭＳ Ｐ明朝" w:hint="eastAsia"/>
        </w:rPr>
        <w:t>遵</w:t>
      </w:r>
      <w:r>
        <w:rPr/>
        <w:t>守すること。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before="71"/>
        <w:ind w:left="100"/>
      </w:pPr>
      <w:r>
        <w:rPr>
          <w:spacing w:val="8"/>
        </w:rPr>
        <w:t>１．八戸サテライトを使用する場合は，使用日の３日前</w:t>
      </w:r>
      <w:r>
        <w:rPr>
          <w:spacing w:val="10"/>
        </w:rPr>
        <w:t>（</w:t>
      </w:r>
      <w:r>
        <w:rPr>
          <w:spacing w:val="9"/>
        </w:rPr>
        <w:t>休館日を除く）</w:t>
      </w:r>
      <w:r>
        <w:rPr>
          <w:spacing w:val="6"/>
        </w:rPr>
        <w:t>までに八戸サテ</w:t>
      </w:r>
    </w:p>
    <w:p>
      <w:pPr>
        <w:pStyle w:val="BodyText"/>
        <w:ind w:left="325"/>
      </w:pPr>
      <w:r>
        <w:rPr>
          <w:spacing w:val="12"/>
        </w:rPr>
        <w:t>ライト(電話</w:t>
      </w:r>
      <w:r>
        <w:rPr>
          <w:rFonts w:ascii="Times New Roman" w:eastAsia="Times New Roman"/>
        </w:rPr>
        <w:t>:0178-43-1600</w:t>
      </w:r>
      <w:r>
        <w:rPr>
          <w:spacing w:val="-40"/>
        </w:rPr>
        <w:t>， </w:t>
      </w:r>
      <w:r>
        <w:rPr>
          <w:rFonts w:ascii="Times New Roman" w:eastAsia="Times New Roman"/>
        </w:rPr>
        <w:t>E</w:t>
      </w:r>
      <w:r>
        <w:rPr>
          <w:rFonts w:ascii="Times New Roman" w:eastAsia="Times New Roman"/>
          <w:spacing w:val="13"/>
        </w:rPr>
        <w:t>  </w:t>
      </w:r>
      <w:r>
        <w:rPr/>
        <w:t>ﾒｰﾙ</w:t>
      </w:r>
      <w:r>
        <w:rPr>
          <w:rFonts w:ascii="Times New Roman" w:eastAsia="Times New Roman"/>
        </w:rPr>
        <w:t>:sate@hirosaki-u.ac.jp</w:t>
      </w:r>
      <w:r>
        <w:rPr>
          <w:spacing w:val="10"/>
        </w:rPr>
        <w:t>)又は社会連携部社会連携課(電話</w:t>
      </w:r>
    </w:p>
    <w:p>
      <w:pPr>
        <w:pStyle w:val="BodyText"/>
        <w:ind w:left="319"/>
      </w:pPr>
      <w:r>
        <w:rPr>
          <w:rFonts w:ascii="Times New Roman" w:eastAsia="Times New Roman"/>
        </w:rPr>
        <w:t>:0172-39-3980</w:t>
      </w:r>
      <w:r>
        <w:rPr/>
        <w:t>，</w:t>
      </w:r>
      <w:r>
        <w:rPr>
          <w:rFonts w:ascii="Times New Roman" w:eastAsia="Times New Roman"/>
        </w:rPr>
        <w:t>E </w:t>
      </w:r>
      <w:r>
        <w:rPr/>
        <w:t>ﾒｰﾙ</w:t>
      </w:r>
      <w:r>
        <w:rPr>
          <w:rFonts w:ascii="Times New Roman" w:eastAsia="Times New Roman"/>
        </w:rPr>
        <w:t>:jm3980@hirosaki-u.ac.jp</w:t>
      </w:r>
      <w:r>
        <w:rPr/>
        <w:t>)に申込みを行なうこと。</w:t>
      </w:r>
    </w:p>
    <w:p>
      <w:pPr>
        <w:pStyle w:val="BodyText"/>
        <w:spacing w:before="0"/>
        <w:rPr>
          <w:sz w:val="27"/>
        </w:rPr>
      </w:pPr>
    </w:p>
    <w:p>
      <w:pPr>
        <w:pStyle w:val="BodyText"/>
        <w:spacing w:before="71"/>
        <w:ind w:left="100"/>
      </w:pPr>
      <w:r>
        <w:rPr/>
        <w:t>２．八戸サテライトの施設を使用する職員等は，次の事項を</w:t>
      </w:r>
      <w:r>
        <w:rPr>
          <w:rFonts w:ascii="ＭＳ Ｐ明朝" w:eastAsia="ＭＳ Ｐ明朝" w:hint="eastAsia"/>
        </w:rPr>
        <w:t>遵</w:t>
      </w:r>
      <w:r>
        <w:rPr/>
        <w:t>守すること。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74" w:after="0"/>
        <w:ind w:left="759" w:right="0" w:hanging="441"/>
        <w:jc w:val="left"/>
        <w:rPr>
          <w:sz w:val="21"/>
        </w:rPr>
      </w:pPr>
      <w:r>
        <w:rPr>
          <w:spacing w:val="9"/>
          <w:sz w:val="21"/>
        </w:rPr>
        <w:t>使用目的以外に使用しない。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74" w:after="0"/>
        <w:ind w:left="759" w:right="0" w:hanging="441"/>
        <w:jc w:val="left"/>
        <w:rPr>
          <w:sz w:val="21"/>
        </w:rPr>
      </w:pPr>
      <w:r>
        <w:rPr>
          <w:spacing w:val="8"/>
          <w:sz w:val="21"/>
        </w:rPr>
        <w:t>施設の改変及び備品等の移動は，無断で行わない。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74" w:after="0"/>
        <w:ind w:left="759" w:right="0" w:hanging="441"/>
        <w:jc w:val="left"/>
        <w:rPr>
          <w:sz w:val="21"/>
        </w:rPr>
      </w:pPr>
      <w:r>
        <w:rPr>
          <w:spacing w:val="9"/>
          <w:sz w:val="21"/>
        </w:rPr>
        <w:t>施設使用後は原状に復帰する。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74" w:after="0"/>
        <w:ind w:left="759" w:right="0" w:hanging="441"/>
        <w:jc w:val="left"/>
        <w:rPr>
          <w:sz w:val="21"/>
        </w:rPr>
      </w:pPr>
      <w:r>
        <w:rPr>
          <w:spacing w:val="9"/>
          <w:sz w:val="21"/>
        </w:rPr>
        <w:t>施設の使用を他に転貸しない。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74" w:after="0"/>
        <w:ind w:left="759" w:right="0" w:hanging="441"/>
        <w:jc w:val="left"/>
        <w:rPr>
          <w:sz w:val="21"/>
        </w:rPr>
      </w:pPr>
      <w:r>
        <w:rPr>
          <w:spacing w:val="8"/>
          <w:sz w:val="21"/>
        </w:rPr>
        <w:t>火気の使用については，係員の指示に従う。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40" w:lineRule="auto" w:before="73" w:after="0"/>
        <w:ind w:left="759" w:right="0" w:hanging="441"/>
        <w:jc w:val="left"/>
        <w:rPr>
          <w:sz w:val="21"/>
        </w:rPr>
      </w:pPr>
      <w:r>
        <w:rPr>
          <w:spacing w:val="8"/>
          <w:sz w:val="21"/>
        </w:rPr>
        <w:t>使用後は，次の事項の点検・確認を行う。</w:t>
      </w:r>
    </w:p>
    <w:p>
      <w:pPr>
        <w:pStyle w:val="BodyText"/>
        <w:ind w:left="649"/>
      </w:pPr>
      <w:r>
        <w:rPr/>
        <w:t>①火気の点検</w:t>
      </w:r>
    </w:p>
    <w:p>
      <w:pPr>
        <w:pStyle w:val="BodyText"/>
        <w:ind w:left="649"/>
      </w:pPr>
      <w:r>
        <w:rPr/>
        <w:t>②照明器具の点検</w:t>
      </w:r>
    </w:p>
    <w:p>
      <w:pPr>
        <w:pStyle w:val="BodyText"/>
        <w:spacing w:before="75"/>
        <w:ind w:left="649"/>
      </w:pPr>
      <w:r>
        <w:rPr/>
        <w:t>③窓の点検</w:t>
      </w:r>
    </w:p>
    <w:p>
      <w:pPr>
        <w:pStyle w:val="BodyText"/>
        <w:ind w:left="649"/>
      </w:pPr>
      <w:r>
        <w:rPr/>
        <w:t>④室内の整理整頓</w:t>
      </w:r>
    </w:p>
    <w:p>
      <w:pPr>
        <w:pStyle w:val="BodyText"/>
        <w:ind w:left="649"/>
      </w:pPr>
      <w:r>
        <w:rPr/>
        <w:t>⑤使用備品等の後始末</w:t>
      </w:r>
    </w:p>
    <w:p>
      <w:pPr>
        <w:pStyle w:val="BodyText"/>
        <w:spacing w:before="73"/>
        <w:ind w:left="649"/>
      </w:pPr>
      <w:r>
        <w:rPr/>
        <w:t>⑥冷暖房の確認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line="307" w:lineRule="auto" w:before="161"/>
        <w:ind w:left="319" w:right="115" w:hanging="220"/>
      </w:pPr>
      <w:r>
        <w:rPr/>
        <w:t>３．使用者の故意又は重大な過失により施設設備を破損し，又は紛失した場合は，その損害に相当する費用を弁償すること。</w:t>
      </w:r>
    </w:p>
    <w:sectPr>
      <w:type w:val="continuous"/>
      <w:pgSz w:w="11910" w:h="16840"/>
      <w:pgMar w:top="1600" w:bottom="280" w:left="16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ＭＳ Ｐ明朝">
    <w:altName w:val="ＭＳ Ｐ明朝"/>
    <w:charset w:val="80"/>
    <w:family w:val="roman"/>
    <w:pitch w:val="variable"/>
  </w:font>
  <w:font w:name="ＭＳ 明朝">
    <w:altName w:val="ＭＳ 明朝"/>
    <w:charset w:val="80"/>
    <w:family w:val="roma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759" w:hanging="440"/>
        <w:jc w:val="left"/>
      </w:pPr>
      <w:rPr>
        <w:rFonts w:hint="default" w:ascii="ＭＳ 明朝" w:hAnsi="ＭＳ 明朝" w:eastAsia="ＭＳ 明朝" w:cs="ＭＳ 明朝"/>
        <w:spacing w:val="0"/>
        <w:w w:val="100"/>
        <w:sz w:val="21"/>
        <w:szCs w:val="21"/>
      </w:rPr>
    </w:lvl>
    <w:lvl w:ilvl="1">
      <w:start w:val="0"/>
      <w:numFmt w:val="bullet"/>
      <w:lvlText w:val="•"/>
      <w:lvlJc w:val="left"/>
      <w:pPr>
        <w:ind w:left="1584" w:hanging="4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08" w:hanging="4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33" w:hanging="4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57" w:hanging="4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82" w:hanging="4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6" w:hanging="4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31" w:hanging="4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355" w:hanging="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ＭＳ 明朝" w:hAnsi="ＭＳ 明朝" w:eastAsia="ＭＳ 明朝" w:cs="ＭＳ 明朝"/>
    </w:rPr>
  </w:style>
  <w:style w:styleId="BodyText" w:type="paragraph">
    <w:name w:val="Body Text"/>
    <w:basedOn w:val="Normal"/>
    <w:uiPriority w:val="1"/>
    <w:qFormat/>
    <w:pPr>
      <w:spacing w:before="74"/>
    </w:pPr>
    <w:rPr>
      <w:rFonts w:ascii="ＭＳ 明朝" w:hAnsi="ＭＳ 明朝" w:eastAsia="ＭＳ 明朝" w:cs="ＭＳ 明朝"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74"/>
      <w:ind w:left="759" w:hanging="441"/>
    </w:pPr>
    <w:rPr>
      <w:rFonts w:ascii="ＭＳ 明朝" w:hAnsi="ＭＳ 明朝" w:eastAsia="ＭＳ 明朝" w:cs="ＭＳ 明朝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&lt;5461726F2D32382E342E3194AA8CCBBBC3D7B2C48E679770905393BE2E6A7464&gt;</dc:title>
  <dcterms:created xsi:type="dcterms:W3CDTF">2021-01-05T01:41:11Z</dcterms:created>
  <dcterms:modified xsi:type="dcterms:W3CDTF">2021-01-05T01:41:11Z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2021-01-05T00:00:00Z</vt:filetime>
  </property>
</Properties>
</file>